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143</w:t>
      </w:r>
    </w:p>
    <w:p>
      <w:r>
        <w:t>Bundesgericht (BGE), 1972-06-09, DE</w:t>
      </w:r>
    </w:p>
    <w:p>
      <w:r>
        <w:rPr>
          <w:b/>
        </w:rPr>
        <w:t xml:space="preserve">Quelle: </w:t>
      </w:r>
      <w:r>
        <w:t>https://mcp.opencaselaw.ch/entscheid/bge_98 IV 143</w:t>
      </w:r>
    </w:p>
    <w:p>
      <w:r>
        <w:t>FR: ATF 98 IV 143</w:t>
      </w:r>
    </w:p>
    <w:p>
      <w:r>
        <w:t>IT: DTF 98 IV 143</w:t>
      </w:r>
    </w:p>
    <w:p>
      <w:pPr>
        <w:pStyle w:val="Heading2"/>
      </w:pPr>
      <w:r>
        <w:t>Regeste</w:t>
      </w:r>
    </w:p>
    <w:p>
      <w:r>
        <w:t>Regeste Art. 137 Ziff. 2 Abs. 4, 350 Ziff. 1 Abs. 1 StGB. 1. Die Anklagekammer darf bei der Bestimmung des Gerichtsstandes nur dann vom erhöhten Strafrahmen des Art. 137 Ziff. 2 ausgehen, wenn der Diebstahl die besondere Gefährlichkeit des Täters offenbart (Erw. 1). 2. Liegt ein Strafantrag vor, so sind Diebstähle zum Nachteil von Angehörigen bei der Bestimmung des Gerichtsstandes in gleicher Weise zu berücksichtigen wie von Amtes wegen zu verfolgende (Erw. 2).</w:t>
      </w:r>
    </w:p>
    <w:p>
      <w:pPr>
        <w:pStyle w:val="Heading2"/>
      </w:pPr>
      <w:r>
        <w:t>Erwägungen</w:t>
      </w:r>
    </w:p>
    <w:p>
      <w:r>
        <w:rPr>
          <w:b/>
        </w:rPr>
        <w:t>E. 1</w:t>
      </w:r>
    </w:p>
    <w:p>
      <w:r>
        <w:t>Die Auffassung der Gesuchstellerin, der Diebstahl von Muttenz falle unter Art. 137 Ziff. 2 Abs. 4 StGB und sei daher nach bundesgerichtlicher Rechtsprechung ( BGE 71 IV 165 , BGE 75 IV 95 ) mit schwererer Strafe bedroht als die Diebstähle von Basel, leuchtet nicht ein. Diese Bestimmung trifft nur zu, wenn die Tat einen besonderen Grad der Gefährlichkeit des Täters offenbart, d.h. wenn die Art des Vorgehens desselben Charaktereigenschaften aufdeckt, die in einem Masse auf eine asoziale Grundhaltung und sittliche Hemmungslosigkeit schliessen lassen, dass befürchtet werden muss, er werde auch bei anderen Gelegenheiten vor gleichen oder ähnlichen Handlungen nicht zurückschrecken ( BGE 88 IV 60 f.). Beim Entscheid hierüber sind auch die der Tat vorausgehenden und ihr nachfolgenden Umstände zu berücksichtigen ( BGE 87 IV 115 Erw. c, BGE 88 II 61 , BGE 95 IV 165 Erw. 1). Mit der Charakterisierung der Tat als Einschleichediebstahl ist es daher im vorliegenden Falle nicht getan. Der Beschuldigte ist nicht irgendwo hemmungslos eingeschlichen, so dass in besonderem Masse zu befürchten wäre, er werde sich auch bei anderen Gelegenheiten in ähnlicher Weise vergehen. Er beging die Tat im Gebäude seines Arbeitgebers, in dem er sich gut auskannte. Erleichtert wurde sie durch das offen gebliebene Oberlichtfenster eines Abortes und BGE 98 IV 143 S. 146 dadurch, dass die Pultschublade nicht verschlossen war. Entscheidend ist sodann, dass Huber, nachdem er die Tat in der Nacht vom Samstag auf den Sonntag begangen hatte, sich schon am Montag beim Bestohlenen meldete, um Entschuldigung bat und ihm den gestohlenen Betrag zurückzahlte. Darin kann allenfalls eine Betätigung aufrichtiger Reue gesehen werden. Dieser Umstand schliesst jedenfalls aus, die Tat besonderer Asozialität und Hemmungslosigkeit des Täters zuzuschreiben. Huber ist denn auch weder vorbestraft, noch hat er sich für weitere Einschleiche- oder Einbruchsdiebstähle zu verantworten. Ob die Möglichkeit der Strafmilderung wegen Betätigung aufrichtiger Reue ( Art. 64 StGB ) die Tat zu einer im Sinne des Art. 350 Ziff. 1 Abs. 1 StGB mit geringerer Strafe bedrohten macht als die anderen Diebstähle, kann offen bleiben. Bemerkt sei nur, dass die Anklagekammer es z.B. abgelehnt hat, bei der Bestimmung des Gerichtsstandes auf den Strafschärfungsgrund des Rückfalles Rücksicht zu nehmen ( BGE 69 IV 37 ).</w:t>
      </w:r>
    </w:p>
    <w:p>
      <w:r>
        <w:rPr>
          <w:b/>
        </w:rPr>
        <w:t>E. 2</w:t>
      </w:r>
    </w:p>
    <w:p>
      <w:r>
        <w:t>Die Gesuchstellerin hält den Gerichtsstand Basel-Land auch für gegeben, weil die in Basel verübten Diebstähle gemäss Art. 137 Ziff. 3 StGB nur auf Antrag zu verfolgen seien. Darauf kommt nichts an. Art. 350 Ziff. 1 Abs. 1 StGB berücksichtigt nur die Strafandrohung. Diese wird durch den Umstand, dass Diebstähle zum Nachteil von Angehörigen nur auf Antrag verfolgt werden, nicht beeinflusst. Der Strafantrag ist blosse Prozessvoraussetzung ( BGE 69 IV 72 Erw. 5, BGE 73 IV 97 , BGE 81 IV 92 Erw. 3). Im vorliegenden Falle ist sie erfüllt und fallen daher die in Basel ausgeführten Diebstähle für die Bestimmung des Gerichtsstandes in gleicher Weise in Betracht wie der von Amtes wegen zu verfolgende Diebstahl von Muttenz. Dass der Strafantrag zurückgezogen werden kann und im Falle des Rückzuges die prozessuale Voraussetzung der Verfolgung dahinfallen würde, ändert nichts. Der Gerichtsstand hängt von den strafbaren Handlungen ab, deretwegen gegenwärtig eine Strafverfolgung stattfindet ( BGE 69 IV 40 Erw. 3 am Ende), nicht von einer theoretisch möglichen künftigen Änderung der prozessualen Lage. Der Vergleich mit den Fällen blosser Versuche hält nicht stand. Auf eine versuchte strafbare Handlung ist weniger schwere Strafe angedroht als auf die vollendete, denn die Art. 22 und 23 in Verbindung mit Art. 65 und 66 StGB erlauben, die Strafe zu mildern ( BGE 75 IV 95 ). BGE 98 IV 143 S. 147 Das Erfordernis des Strafantrages gemäss Art. 137 Ziff. 3 ändert dagegen an der Strafandrohung nichts.</w:t>
      </w:r>
    </w:p>
    <w:p>
      <w:r>
        <w:rPr>
          <w:b/>
        </w:rPr>
        <w:t>E. 3</w:t>
      </w:r>
    </w:p>
    <w:p>
      <w:r>
        <w:t>Da die Diebstähle von Basel und Muttenz mit gleich schwerer Strafe bedroht sind und die Untersuchung der Basler Fälle zuerst angehoben worden ist, befindet sich der Gerichtsstand im Kanton Basel-Stadt (Art. 350 Ziff. 1 Abs. 2 StBG).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